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2DF20" w14:textId="77777777"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14:paraId="57868B9E" w14:textId="77777777"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4199"/>
        <w:gridCol w:w="860"/>
        <w:gridCol w:w="926"/>
        <w:gridCol w:w="952"/>
        <w:gridCol w:w="335"/>
        <w:gridCol w:w="670"/>
        <w:gridCol w:w="3704"/>
      </w:tblGrid>
      <w:tr w:rsidR="00ED41E3" w:rsidRPr="0009158B" w14:paraId="3B2E5828" w14:textId="77777777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14:paraId="5FA700B2" w14:textId="77777777"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7BD1D4BF" wp14:editId="3BDB9B59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4"/>
          </w:tcPr>
          <w:p w14:paraId="24D28468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13091093" w14:textId="77777777" w:rsidTr="0063432C">
        <w:trPr>
          <w:trHeight w:val="360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7BF8D038" w14:textId="51E4B31E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72E377D3" wp14:editId="1B78D955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14:paraId="1358DE72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35A76AE" w14:textId="77777777"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14:paraId="5087E50D" w14:textId="1F70D29B" w:rsidR="00CD6815" w:rsidRPr="007A12AE" w:rsidRDefault="00E908CB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VINKULACIJA POLISE OSIGURANJA NAKNADE ŠTETE – SUBROGACIJA I REGRESNO PRAVO OSIGURAVAČA</w:t>
            </w:r>
          </w:p>
          <w:p w14:paraId="086AF686" w14:textId="529DA369"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</w:t>
            </w:r>
            <w:r w:rsidR="00EE0B33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)</w:t>
            </w:r>
          </w:p>
          <w:p w14:paraId="0A801B25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6F9E1136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28180209" w14:textId="748852ED" w:rsidR="001D330C" w:rsidRDefault="001D330C" w:rsidP="001D330C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Cyrl-RS" w:eastAsia="sr-Latn-CS"/>
              </w:rPr>
              <w:t>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9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mart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2020.</w:t>
            </w:r>
          </w:p>
          <w:p w14:paraId="3C12E6E4" w14:textId="77777777" w:rsidR="001D330C" w:rsidRDefault="001D330C" w:rsidP="001D330C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  <w:p w14:paraId="0CF7A1DB" w14:textId="3C308794" w:rsidR="00931281" w:rsidRPr="00931281" w:rsidRDefault="001D330C" w:rsidP="001D330C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02060"/>
                <w:sz w:val="28"/>
                <w:szCs w:val="28"/>
                <w:lang w:val="sr-Latn-CS" w:eastAsia="sr-Latn-CS"/>
              </w:rPr>
              <w:t>Privredna komora Srbije, RPK Kruševac, Balkanska 63, IV sprat</w:t>
            </w:r>
          </w:p>
        </w:tc>
      </w:tr>
      <w:tr w:rsidR="00ED41E3" w:rsidRPr="0009158B" w14:paraId="6E03CCA1" w14:textId="77777777" w:rsidTr="0063432C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5DCD8BDA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317B09BB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831151D" w14:textId="77777777"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14:paraId="42F3C8DD" w14:textId="77777777" w:rsidTr="0063432C">
        <w:trPr>
          <w:trHeight w:val="964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22CE2730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59C22917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08AF2A3B" w14:textId="2CCE0EEF"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14:paraId="6482E9FE" w14:textId="77777777" w:rsidTr="00EE0B33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1D6D9F4D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11851EB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3AF85934" w14:textId="77777777"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14:paraId="0EABC208" w14:textId="77777777" w:rsidTr="0063432C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14:paraId="0D57A7C4" w14:textId="77777777"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14:paraId="76CBD2A8" w14:textId="77777777"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14:paraId="045D69AD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14:paraId="2F32A819" w14:textId="77777777" w:rsidTr="0063432C">
        <w:trPr>
          <w:trHeight w:val="153"/>
          <w:jc w:val="center"/>
        </w:trPr>
        <w:tc>
          <w:tcPr>
            <w:tcW w:w="6937" w:type="dxa"/>
            <w:gridSpan w:val="4"/>
            <w:shd w:val="clear" w:color="auto" w:fill="auto"/>
          </w:tcPr>
          <w:p w14:paraId="6E3F5883" w14:textId="77777777"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14:paraId="0F338EDB" w14:textId="77777777"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47FC2560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01BC7D24" w14:textId="77777777" w:rsidTr="0063432C">
        <w:trPr>
          <w:trHeight w:val="1657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456780DA" w14:textId="77777777"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14:paraId="68FADD07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Ugovor o osiguranju – polisa</w:t>
            </w:r>
          </w:p>
          <w:p w14:paraId="7AFE34A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osigurnje imovine</w:t>
            </w:r>
          </w:p>
          <w:p w14:paraId="0535D6B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osiguranje lica</w:t>
            </w:r>
          </w:p>
          <w:p w14:paraId="46E4CFDA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Vinkulacija polise osiguranja</w:t>
            </w:r>
          </w:p>
          <w:p w14:paraId="5306A873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4.1. Institut vinkulacije polise osiguranja</w:t>
            </w:r>
          </w:p>
          <w:p w14:paraId="41791DD7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4.2. Postupak vinkulacije polise osiguranja – neživotna osiguranja</w:t>
            </w:r>
          </w:p>
          <w:p w14:paraId="5E7AA7AE" w14:textId="6A8B630F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4.3. Postupak vinkulacije polise osiguranja – života osiguranja</w:t>
            </w:r>
          </w:p>
          <w:p w14:paraId="227FB19A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4.4. Vinkulacija polise osiguranja i međusobni odnos ugovornih strana </w:t>
            </w:r>
          </w:p>
          <w:p w14:paraId="17CD304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4.5. Odnos prema licu u čiju je korist polica osiguranja vinkulirana</w:t>
            </w:r>
          </w:p>
          <w:p w14:paraId="35C294C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4.6. Pravo na isplatu naknade štete ili osigurane sume</w:t>
            </w:r>
          </w:p>
          <w:p w14:paraId="04D33100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4.7. Problemi u vezi pojma i sadržaja vinkulacije police osiguranja</w:t>
            </w:r>
          </w:p>
          <w:p w14:paraId="350B8D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4.8. Neočekivane pravne posledice</w:t>
            </w:r>
          </w:p>
          <w:p w14:paraId="173264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4.9. Prigovori prema društvu za osiguranje</w:t>
            </w:r>
          </w:p>
          <w:p w14:paraId="25B50041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Naknada štete  </w:t>
            </w:r>
          </w:p>
          <w:p w14:paraId="2BD775AA" w14:textId="1B703466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5.1. 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Pojam štete</w:t>
            </w:r>
          </w:p>
          <w:p w14:paraId="03C9C025" w14:textId="1BB1351A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5.2.Podnošenje odštetnog zahteva - prijava štete</w:t>
            </w:r>
          </w:p>
          <w:p w14:paraId="6DDD068F" w14:textId="12E4C393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5.3.Utvrđivanje pravnog osnova za naknadu štete </w:t>
            </w:r>
          </w:p>
          <w:p w14:paraId="535181DA" w14:textId="4FF7C8B3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Procena štete</w:t>
            </w:r>
          </w:p>
          <w:p w14:paraId="78EF633B" w14:textId="657B845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Delimična i totalna šteta</w:t>
            </w:r>
          </w:p>
          <w:p w14:paraId="12BEC2E0" w14:textId="7EC455F9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5.6.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Utvrđivanje visine štete</w:t>
            </w:r>
          </w:p>
          <w:p w14:paraId="3B46C957" w14:textId="5E5461F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5.7.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Isplata naknade ili ugovorene svote</w:t>
            </w:r>
          </w:p>
          <w:p w14:paraId="25A6F0C3" w14:textId="1DC93AB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5.8.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Zaštita korisnika usluga osiguranja – prigovor</w:t>
            </w:r>
          </w:p>
          <w:p w14:paraId="106F40BC" w14:textId="4D83A11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5.9.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Prigovori osiguravača</w:t>
            </w:r>
          </w:p>
          <w:p w14:paraId="17132240" w14:textId="358A0238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5.10.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Medijacija i preuranjena tužba</w:t>
            </w:r>
          </w:p>
          <w:p w14:paraId="54159C55" w14:textId="72ABF02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Ostvarenje prava na naknadu štete u sudskom postupku</w:t>
            </w:r>
          </w:p>
          <w:p w14:paraId="1F67E129" w14:textId="77777777" w:rsidR="00E908CB" w:rsidRPr="00EE0B33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Subrogacija - prelaz osiguranikovih prava prema odgovornom licu na osiguravača </w:t>
            </w:r>
          </w:p>
          <w:p w14:paraId="6F35AC85" w14:textId="2CC860C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lastRenderedPageBreak/>
              <w:t>6.1.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Pravni osnov za prelazak osiguranikovih prava prema licu odgovornom za nastalu štetu na osiguravača</w:t>
            </w:r>
          </w:p>
          <w:p w14:paraId="79286738" w14:textId="7237146D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osiguravača prema licu odgovornom za nastalu štetu</w:t>
            </w:r>
          </w:p>
          <w:p w14:paraId="1E0CC7C2" w14:textId="083D102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 lica odgovornog za nastalu štetu i osiguranika</w:t>
            </w:r>
          </w:p>
          <w:p w14:paraId="6B580D0E" w14:textId="37B17FD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Sporazum za naknadu nastale štete u mirnom postupku</w:t>
            </w:r>
          </w:p>
          <w:p w14:paraId="2BF9B90A" w14:textId="5CE3DAB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subrogacijskih prava</w:t>
            </w:r>
          </w:p>
          <w:p w14:paraId="263C7E4A" w14:textId="77777777" w:rsidR="00E908CB" w:rsidRPr="00EE0B33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14:paraId="79C5A58F" w14:textId="77777777" w:rsidR="00E908CB" w:rsidRPr="00E908CB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Regresno pravo osiguravača</w:t>
            </w:r>
          </w:p>
          <w:p w14:paraId="2E6D667F" w14:textId="7D45C65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Pravni osnov za regresno potraživanje osiguravača </w:t>
            </w:r>
          </w:p>
          <w:p w14:paraId="3601E03E" w14:textId="594C85FB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Obaveštavanje regresnog dužnika o prijavi i postupku naknade štete</w:t>
            </w:r>
          </w:p>
          <w:p w14:paraId="010476A8" w14:textId="064D325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Mirni postupak - sporazum osiguravača i regresnog dužnika</w:t>
            </w:r>
          </w:p>
          <w:p w14:paraId="2348AD20" w14:textId="703C513E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regresnog duga</w:t>
            </w:r>
          </w:p>
          <w:p w14:paraId="0690D3BD" w14:textId="040A7523" w:rsidR="00EE5D32" w:rsidRPr="00EE0B33" w:rsidRDefault="00EE5D32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7D17B380" w14:textId="77777777"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4E3E66" w14:textId="679BA043" w:rsidR="00ED41E3" w:rsidRPr="002F0437" w:rsidRDefault="00073C60" w:rsidP="00E908CB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908C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</w:p>
        </w:tc>
      </w:tr>
      <w:tr w:rsidR="00ED41E3" w:rsidRPr="0009158B" w14:paraId="0ADAD816" w14:textId="77777777" w:rsidTr="0063432C">
        <w:trPr>
          <w:trHeight w:val="56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14:paraId="37197664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14:paraId="66DFA987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2D7790A9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5EF57D75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4293BE45" w14:textId="77777777" w:rsidTr="0063432C">
        <w:trPr>
          <w:trHeight w:val="1038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08A06AA9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0D287E62" w14:textId="77777777"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58536CA" w14:textId="77777777"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EE0B33" w:rsidRPr="00E6645E" w14:paraId="647F8066" w14:textId="77777777" w:rsidTr="0063432C">
        <w:trPr>
          <w:gridAfter w:val="5"/>
          <w:wAfter w:w="6587" w:type="dxa"/>
          <w:trHeight w:val="80"/>
          <w:jc w:val="center"/>
        </w:trPr>
        <w:tc>
          <w:tcPr>
            <w:tcW w:w="5059" w:type="dxa"/>
            <w:gridSpan w:val="2"/>
            <w:shd w:val="clear" w:color="auto" w:fill="auto"/>
          </w:tcPr>
          <w:p w14:paraId="5F0BD88D" w14:textId="77777777" w:rsidR="00EE0B33" w:rsidRPr="0009158B" w:rsidRDefault="00EE0B33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14:paraId="57142CA0" w14:textId="77777777" w:rsidTr="0063432C">
        <w:trPr>
          <w:trHeight w:val="233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21E5D76" w14:textId="77777777"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14:paraId="11F477A0" w14:textId="77777777"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A9DDD0F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45368189" w14:textId="77777777"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14:paraId="2D8523FC" w14:textId="77777777" w:rsidTr="0063432C">
        <w:trPr>
          <w:trHeight w:val="125"/>
          <w:jc w:val="center"/>
        </w:trPr>
        <w:tc>
          <w:tcPr>
            <w:tcW w:w="4199" w:type="dxa"/>
            <w:tcBorders>
              <w:top w:val="single" w:sz="4" w:space="0" w:color="1F497D"/>
            </w:tcBorders>
          </w:tcPr>
          <w:p w14:paraId="3C00D762" w14:textId="77777777"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07539B9A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14:paraId="1343C06A" w14:textId="77777777" w:rsidTr="00EE0B33">
        <w:trPr>
          <w:trHeight w:val="702"/>
          <w:jc w:val="center"/>
        </w:trPr>
        <w:tc>
          <w:tcPr>
            <w:tcW w:w="11646" w:type="dxa"/>
            <w:gridSpan w:val="7"/>
            <w:shd w:val="clear" w:color="auto" w:fill="1F497D"/>
          </w:tcPr>
          <w:p w14:paraId="209EF284" w14:textId="77777777" w:rsidR="001D330C" w:rsidRDefault="001D330C" w:rsidP="001D330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RPK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Kruševac</w:t>
            </w:r>
          </w:p>
          <w:p w14:paraId="233DC1E2" w14:textId="0CCA776A" w:rsidR="00ED41E3" w:rsidRPr="00805DC7" w:rsidRDefault="001D330C" w:rsidP="001D330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065 90 877 86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marija.veskovic@pks.rs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 /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14:paraId="293956A9" w14:textId="77777777" w:rsidR="00931281" w:rsidRPr="005246B5" w:rsidRDefault="00931281" w:rsidP="00887ECC">
      <w:pPr>
        <w:jc w:val="center"/>
        <w:rPr>
          <w:lang w:val="de-DE"/>
        </w:rPr>
      </w:pPr>
      <w:bookmarkStart w:id="0" w:name="_GoBack"/>
      <w:bookmarkEnd w:id="0"/>
    </w:p>
    <w:p w14:paraId="17BE550F" w14:textId="77777777"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68B4B9" w14:textId="77777777" w:rsidR="00DB1F0C" w:rsidRDefault="00DB1F0C">
      <w:r>
        <w:separator/>
      </w:r>
    </w:p>
  </w:endnote>
  <w:endnote w:type="continuationSeparator" w:id="0">
    <w:p w14:paraId="074B2302" w14:textId="77777777" w:rsidR="00DB1F0C" w:rsidRDefault="00DB1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FD6B47" w14:textId="77777777" w:rsidR="00DB1F0C" w:rsidRDefault="00DB1F0C">
      <w:r>
        <w:separator/>
      </w:r>
    </w:p>
  </w:footnote>
  <w:footnote w:type="continuationSeparator" w:id="0">
    <w:p w14:paraId="19A373F9" w14:textId="77777777" w:rsidR="00DB1F0C" w:rsidRDefault="00DB1F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CCC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756EA4"/>
    <w:multiLevelType w:val="hybridMultilevel"/>
    <w:tmpl w:val="1A103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67BC5"/>
    <w:multiLevelType w:val="hybridMultilevel"/>
    <w:tmpl w:val="E554572A"/>
    <w:lvl w:ilvl="0" w:tplc="27BCB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46D1B"/>
    <w:multiLevelType w:val="hybridMultilevel"/>
    <w:tmpl w:val="F538F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473F81"/>
    <w:multiLevelType w:val="hybridMultilevel"/>
    <w:tmpl w:val="DE8401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851695"/>
    <w:multiLevelType w:val="hybridMultilevel"/>
    <w:tmpl w:val="BEC05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1"/>
  </w:num>
  <w:num w:numId="3">
    <w:abstractNumId w:val="8"/>
  </w:num>
  <w:num w:numId="4">
    <w:abstractNumId w:val="18"/>
  </w:num>
  <w:num w:numId="5">
    <w:abstractNumId w:val="27"/>
  </w:num>
  <w:num w:numId="6">
    <w:abstractNumId w:val="20"/>
  </w:num>
  <w:num w:numId="7">
    <w:abstractNumId w:val="9"/>
  </w:num>
  <w:num w:numId="8">
    <w:abstractNumId w:val="4"/>
  </w:num>
  <w:num w:numId="9">
    <w:abstractNumId w:val="6"/>
  </w:num>
  <w:num w:numId="10">
    <w:abstractNumId w:val="38"/>
  </w:num>
  <w:num w:numId="11">
    <w:abstractNumId w:val="30"/>
  </w:num>
  <w:num w:numId="12">
    <w:abstractNumId w:val="2"/>
  </w:num>
  <w:num w:numId="13">
    <w:abstractNumId w:val="0"/>
  </w:num>
  <w:num w:numId="14">
    <w:abstractNumId w:val="39"/>
  </w:num>
  <w:num w:numId="15">
    <w:abstractNumId w:val="13"/>
  </w:num>
  <w:num w:numId="16">
    <w:abstractNumId w:val="22"/>
  </w:num>
  <w:num w:numId="17">
    <w:abstractNumId w:val="11"/>
  </w:num>
  <w:num w:numId="18">
    <w:abstractNumId w:val="31"/>
  </w:num>
  <w:num w:numId="19">
    <w:abstractNumId w:val="14"/>
  </w:num>
  <w:num w:numId="20">
    <w:abstractNumId w:val="1"/>
  </w:num>
  <w:num w:numId="21">
    <w:abstractNumId w:val="28"/>
  </w:num>
  <w:num w:numId="22">
    <w:abstractNumId w:val="7"/>
  </w:num>
  <w:num w:numId="23">
    <w:abstractNumId w:val="32"/>
  </w:num>
  <w:num w:numId="24">
    <w:abstractNumId w:val="12"/>
  </w:num>
  <w:num w:numId="25">
    <w:abstractNumId w:val="15"/>
  </w:num>
  <w:num w:numId="26">
    <w:abstractNumId w:val="24"/>
  </w:num>
  <w:num w:numId="27">
    <w:abstractNumId w:val="34"/>
  </w:num>
  <w:num w:numId="28">
    <w:abstractNumId w:val="25"/>
  </w:num>
  <w:num w:numId="29">
    <w:abstractNumId w:val="29"/>
  </w:num>
  <w:num w:numId="30">
    <w:abstractNumId w:val="37"/>
  </w:num>
  <w:num w:numId="31">
    <w:abstractNumId w:val="17"/>
  </w:num>
  <w:num w:numId="32">
    <w:abstractNumId w:val="36"/>
  </w:num>
  <w:num w:numId="33">
    <w:abstractNumId w:val="10"/>
  </w:num>
  <w:num w:numId="34">
    <w:abstractNumId w:val="33"/>
  </w:num>
  <w:num w:numId="35">
    <w:abstractNumId w:val="5"/>
  </w:num>
  <w:num w:numId="36">
    <w:abstractNumId w:val="3"/>
  </w:num>
  <w:num w:numId="37">
    <w:abstractNumId w:val="19"/>
  </w:num>
  <w:num w:numId="38">
    <w:abstractNumId w:val="26"/>
  </w:num>
  <w:num w:numId="39">
    <w:abstractNumId w:val="16"/>
  </w:num>
  <w:num w:numId="40">
    <w:abstractNumId w:val="23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0F64B5"/>
    <w:rsid w:val="00106EB2"/>
    <w:rsid w:val="001102A1"/>
    <w:rsid w:val="00114D5A"/>
    <w:rsid w:val="00123A14"/>
    <w:rsid w:val="00123E70"/>
    <w:rsid w:val="00125827"/>
    <w:rsid w:val="001375C1"/>
    <w:rsid w:val="00142D8D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330C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11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3411"/>
    <w:rsid w:val="0072421D"/>
    <w:rsid w:val="00732205"/>
    <w:rsid w:val="00743770"/>
    <w:rsid w:val="00744FD1"/>
    <w:rsid w:val="00754E65"/>
    <w:rsid w:val="0075522F"/>
    <w:rsid w:val="007558F5"/>
    <w:rsid w:val="00761184"/>
    <w:rsid w:val="0076698E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413F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76D95"/>
    <w:rsid w:val="00D84032"/>
    <w:rsid w:val="00D861E3"/>
    <w:rsid w:val="00D87034"/>
    <w:rsid w:val="00D928D3"/>
    <w:rsid w:val="00D95C24"/>
    <w:rsid w:val="00D96E3D"/>
    <w:rsid w:val="00DB0458"/>
    <w:rsid w:val="00DB1F0C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08CB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0B33"/>
    <w:rsid w:val="00EE108E"/>
    <w:rsid w:val="00EE40DF"/>
    <w:rsid w:val="00EE4E2B"/>
    <w:rsid w:val="00EE5D32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43AC0F"/>
  <w15:docId w15:val="{4DF69A8C-4991-44BA-91D7-C63C6C3A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2A81B-5F3C-4649-86D2-B38C42664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2820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4</cp:revision>
  <cp:lastPrinted>2015-12-22T11:13:00Z</cp:lastPrinted>
  <dcterms:created xsi:type="dcterms:W3CDTF">2020-02-03T12:13:00Z</dcterms:created>
  <dcterms:modified xsi:type="dcterms:W3CDTF">2020-02-03T14:40:00Z</dcterms:modified>
</cp:coreProperties>
</file>